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617"/>
        <w:gridCol w:w="3715"/>
        <w:gridCol w:w="650"/>
        <w:gridCol w:w="706"/>
        <w:gridCol w:w="618"/>
        <w:gridCol w:w="689"/>
        <w:gridCol w:w="641"/>
      </w:tblGrid>
      <w:tr w:rsidR="004829A8" w:rsidRPr="00DB5CDA" w14:paraId="17FFC694" w14:textId="77777777" w:rsidTr="009B5451">
        <w:trPr>
          <w:trHeight w:val="480"/>
          <w:jc w:val="center"/>
        </w:trPr>
        <w:tc>
          <w:tcPr>
            <w:tcW w:w="2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02D3A524" w14:textId="77777777" w:rsidR="004829A8" w:rsidRPr="00DB5CDA" w:rsidRDefault="004829A8" w:rsidP="002317E0">
            <w:pPr>
              <w:pStyle w:val="Zhlav"/>
              <w:rPr>
                <w:rFonts w:ascii="Arial" w:hAnsi="Arial" w:cs="Arial"/>
                <w:b/>
              </w:rPr>
            </w:pPr>
          </w:p>
          <w:p w14:paraId="0C72FA7F" w14:textId="77777777" w:rsidR="004829A8" w:rsidRPr="00DB5CDA" w:rsidRDefault="004829A8" w:rsidP="002317E0">
            <w:pPr>
              <w:pStyle w:val="Zhlav"/>
              <w:rPr>
                <w:rFonts w:ascii="Arial" w:hAnsi="Arial" w:cs="Arial"/>
                <w:b/>
              </w:rPr>
            </w:pPr>
            <w:proofErr w:type="spellStart"/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  <w:proofErr w:type="spellEnd"/>
          </w:p>
          <w:p w14:paraId="32009841" w14:textId="77777777" w:rsidR="004829A8" w:rsidRPr="00DB5CDA" w:rsidRDefault="004829A8" w:rsidP="002317E0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5BDDD656" w14:textId="77777777" w:rsidR="004829A8" w:rsidRPr="00DB5CDA" w:rsidRDefault="004829A8" w:rsidP="002317E0">
            <w:pPr>
              <w:rPr>
                <w:rFonts w:ascii="Arial" w:hAnsi="Arial" w:cs="Arial"/>
                <w:b/>
              </w:rPr>
            </w:pPr>
          </w:p>
          <w:p w14:paraId="68747EF0" w14:textId="77777777" w:rsidR="004829A8" w:rsidRPr="00DB5CDA" w:rsidRDefault="004829A8" w:rsidP="002317E0">
            <w:pPr>
              <w:rPr>
                <w:rFonts w:ascii="Arial" w:hAnsi="Arial" w:cs="Arial"/>
                <w:b/>
              </w:rPr>
            </w:pPr>
            <w:r w:rsidRPr="00A51B04">
              <w:rPr>
                <w:rFonts w:ascii="Arial" w:hAnsi="Arial" w:cs="Arial"/>
                <w:b/>
              </w:rPr>
              <w:t>Endokrinologický ústav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  <w:vAlign w:val="center"/>
          </w:tcPr>
          <w:p w14:paraId="5836AFAD" w14:textId="49D6933C" w:rsidR="004829A8" w:rsidRPr="00DB5CDA" w:rsidRDefault="000C799D" w:rsidP="002317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FE6EAB" w14:textId="4562D74D" w:rsidR="004829A8" w:rsidRPr="00CE0B51" w:rsidRDefault="00726076" w:rsidP="002317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M1/2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E86265" w14:textId="250E6B10" w:rsidR="004829A8" w:rsidRPr="00CE0B51" w:rsidRDefault="00726076" w:rsidP="002317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13B973" w14:textId="1149EB24" w:rsidR="004829A8" w:rsidRPr="00CE0B51" w:rsidRDefault="00726076" w:rsidP="002317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M4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BE34E3" w14:textId="1A06FD2F" w:rsidR="004829A8" w:rsidRPr="00CE0B51" w:rsidRDefault="00726076" w:rsidP="002317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M5</w:t>
            </w:r>
          </w:p>
        </w:tc>
      </w:tr>
      <w:tr w:rsidR="004829A8" w:rsidRPr="00DB5CDA" w14:paraId="3DA2F1F5" w14:textId="77777777" w:rsidTr="009B5451">
        <w:trPr>
          <w:trHeight w:val="402"/>
          <w:jc w:val="center"/>
        </w:trPr>
        <w:tc>
          <w:tcPr>
            <w:tcW w:w="2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4A71D4A3" w14:textId="77777777" w:rsidR="004829A8" w:rsidRPr="00DB5CDA" w:rsidRDefault="004829A8" w:rsidP="002317E0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4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0BF745E3" w14:textId="77777777" w:rsidR="004829A8" w:rsidRPr="00DB5CDA" w:rsidRDefault="004829A8" w:rsidP="002317E0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  <w:vAlign w:val="center"/>
          </w:tcPr>
          <w:p w14:paraId="2840D2AF" w14:textId="128565C8" w:rsidR="004829A8" w:rsidRPr="00CE0B51" w:rsidRDefault="004829A8" w:rsidP="002317E0">
            <w:pPr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DF4669" w14:textId="7BEA76DE" w:rsidR="004829A8" w:rsidRPr="00CE0B51" w:rsidRDefault="00726076" w:rsidP="002317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9D04E1" w14:textId="192BB6EA" w:rsidR="004829A8" w:rsidRPr="00CE0B51" w:rsidRDefault="00726076" w:rsidP="002317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D12AAA" w14:textId="3D14E362" w:rsidR="004829A8" w:rsidRPr="00CE0B51" w:rsidRDefault="00726076" w:rsidP="002317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5EB06C" w14:textId="6563FF2A" w:rsidR="004829A8" w:rsidRPr="00CE0B51" w:rsidRDefault="00726076" w:rsidP="002317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</w:tr>
      <w:tr w:rsidR="004829A8" w:rsidRPr="003567B8" w14:paraId="02C86029" w14:textId="77777777" w:rsidTr="009B5451">
        <w:trPr>
          <w:trHeight w:val="265"/>
          <w:jc w:val="center"/>
        </w:trPr>
        <w:tc>
          <w:tcPr>
            <w:tcW w:w="2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290BDD" w14:textId="49CE7680" w:rsidR="004829A8" w:rsidRPr="00DB5CDA" w:rsidRDefault="004829A8" w:rsidP="002317E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4A2DB5" w14:textId="24E30A61" w:rsidR="004829A8" w:rsidRPr="004829A8" w:rsidRDefault="004829A8" w:rsidP="002317E0">
            <w:pPr>
              <w:pStyle w:val="Zhlav"/>
              <w:rPr>
                <w:rFonts w:ascii="Arial" w:hAnsi="Arial" w:cs="Arial"/>
                <w:bCs/>
                <w:szCs w:val="22"/>
              </w:rPr>
            </w:pPr>
          </w:p>
        </w:tc>
      </w:tr>
      <w:tr w:rsidR="004829A8" w:rsidRPr="001F0B21" w14:paraId="3786564C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1DAB7B" w14:textId="29FF0F18" w:rsidR="004C73B8" w:rsidRPr="004C73B8" w:rsidRDefault="00CE0B51" w:rsidP="002317E0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AC0DB1">
              <w:rPr>
                <w:rFonts w:ascii="Arial" w:hAnsi="Arial" w:cs="Arial"/>
                <w:b/>
                <w:szCs w:val="22"/>
              </w:rPr>
              <w:t xml:space="preserve">za M1-M5 je </w:t>
            </w:r>
            <w:r>
              <w:rPr>
                <w:rFonts w:ascii="Arial" w:hAnsi="Arial" w:cs="Arial"/>
                <w:b/>
                <w:szCs w:val="22"/>
              </w:rPr>
              <w:t>B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45A2E1" w14:textId="53B6B6DD" w:rsidR="004829A8" w:rsidRPr="004C73B8" w:rsidRDefault="004C73B8" w:rsidP="002317E0">
            <w:pPr>
              <w:pStyle w:val="Zhlav"/>
              <w:rPr>
                <w:rFonts w:ascii="Arial" w:hAnsi="Arial" w:cs="Arial"/>
                <w:b/>
                <w:color w:val="000000" w:themeColor="text1"/>
                <w:szCs w:val="22"/>
                <w:highlight w:val="yellow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po tripartitě v roce 202</w:t>
            </w:r>
            <w:r w:rsidR="00094266"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- B</w:t>
            </w:r>
          </w:p>
        </w:tc>
      </w:tr>
      <w:tr w:rsidR="004829A8" w:rsidRPr="00B44D3A" w14:paraId="183A9DD6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8E96BE" w14:textId="77777777" w:rsidR="004829A8" w:rsidRDefault="004829A8" w:rsidP="002317E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24B08C0" w14:textId="77777777" w:rsidR="004829A8" w:rsidRDefault="004829A8" w:rsidP="002317E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A9832B" w14:textId="1E6CD44C" w:rsidR="004829A8" w:rsidRDefault="004829A8" w:rsidP="002317E0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</w:t>
            </w:r>
            <w:r w:rsidR="00CE0B51">
              <w:rPr>
                <w:rFonts w:ascii="Arial" w:hAnsi="Arial" w:cs="Arial"/>
                <w:b/>
                <w:szCs w:val="22"/>
              </w:rPr>
              <w:t xml:space="preserve"> B</w:t>
            </w:r>
          </w:p>
          <w:p w14:paraId="7D19CF20" w14:textId="77777777" w:rsidR="004829A8" w:rsidRDefault="004829A8" w:rsidP="002317E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22BFBE7" w14:textId="77777777" w:rsidR="004829A8" w:rsidRPr="00DB5CDA" w:rsidRDefault="004829A8" w:rsidP="002317E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CD411E" w14:textId="0A0F1E2F" w:rsidR="0034009B" w:rsidRDefault="0034009B" w:rsidP="00094266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212121"/>
                <w:szCs w:val="22"/>
                <w:lang w:eastAsia="en-GB"/>
              </w:rPr>
            </w:pPr>
            <w:r w:rsidRPr="0034009B">
              <w:rPr>
                <w:rFonts w:ascii="Arial" w:hAnsi="Arial" w:cs="Arial"/>
                <w:color w:val="000000"/>
                <w:szCs w:val="22"/>
              </w:rPr>
              <w:t xml:space="preserve">V hodnoceném období VO realizovala zejména projekty podpořené Agenturou pro zdravotnický výzkum ČR (AZV) (celkem 9), 1 projekt GA ČR, 1 projekt OPRPR a 2 projekty mezinárodní (1 projekt v rámci Horizontu 2020, 1 projekt WHO bez finanční podpory).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Vzhledem k velikosti VO lze počet projektů považovat spíše za průměrný. </w:t>
            </w:r>
            <w:r w:rsidRPr="0034009B">
              <w:rPr>
                <w:rFonts w:ascii="Arial" w:hAnsi="Arial" w:cs="Arial"/>
                <w:color w:val="000000"/>
                <w:szCs w:val="22"/>
              </w:rPr>
              <w:t xml:space="preserve">Hlavní výsledky jsou zejména z oblasti léčby a diagnostiky endokrinologických onemocnění se zvláštní pozorností na environmentální aspekty důsledků expozice endokrinních </w:t>
            </w:r>
            <w:proofErr w:type="spellStart"/>
            <w:r w:rsidRPr="0034009B">
              <w:rPr>
                <w:rFonts w:ascii="Arial" w:hAnsi="Arial" w:cs="Arial"/>
                <w:color w:val="000000"/>
                <w:szCs w:val="22"/>
              </w:rPr>
              <w:t>disruptorů</w:t>
            </w:r>
            <w:proofErr w:type="spellEnd"/>
            <w:r w:rsidRPr="0034009B">
              <w:rPr>
                <w:rFonts w:ascii="Arial" w:hAnsi="Arial" w:cs="Arial"/>
                <w:color w:val="000000"/>
                <w:szCs w:val="22"/>
              </w:rPr>
              <w:t xml:space="preserve"> typu </w:t>
            </w:r>
            <w:proofErr w:type="spellStart"/>
            <w:r w:rsidRPr="0034009B">
              <w:rPr>
                <w:rFonts w:ascii="Arial" w:hAnsi="Arial" w:cs="Arial"/>
                <w:color w:val="000000"/>
                <w:szCs w:val="22"/>
              </w:rPr>
              <w:t>bisfenolů</w:t>
            </w:r>
            <w:proofErr w:type="spellEnd"/>
            <w:r w:rsidRPr="0034009B">
              <w:rPr>
                <w:rFonts w:ascii="Arial" w:hAnsi="Arial" w:cs="Arial"/>
                <w:color w:val="000000"/>
                <w:szCs w:val="22"/>
              </w:rPr>
              <w:t xml:space="preserve"> a parabenů, genetiky papilárního karcinomu štítné žlázy. </w:t>
            </w:r>
            <w:r w:rsidRPr="0034009B">
              <w:rPr>
                <w:rFonts w:ascii="Arial" w:hAnsi="Arial" w:cs="Arial"/>
                <w:szCs w:val="22"/>
              </w:rPr>
              <w:t>Ve výstupech s ekonomickou relevancí jsou uvedeny dva softwarové nástroje</w:t>
            </w:r>
            <w:r>
              <w:rPr>
                <w:rFonts w:ascii="Arial" w:hAnsi="Arial" w:cs="Arial"/>
                <w:szCs w:val="22"/>
              </w:rPr>
              <w:t xml:space="preserve"> určené</w:t>
            </w:r>
            <w:r w:rsidRPr="0034009B">
              <w:rPr>
                <w:rFonts w:ascii="Arial" w:hAnsi="Arial" w:cs="Arial"/>
                <w:szCs w:val="22"/>
              </w:rPr>
              <w:t xml:space="preserve"> k predikci a diagnostice jaterních těhotenských komplikací. Jako výstupy se společenskou relevancí jsou uvedené pouze články a odborné monografie. </w:t>
            </w:r>
            <w:r w:rsidR="002317E0">
              <w:rPr>
                <w:rFonts w:ascii="Arial" w:hAnsi="Arial" w:cs="Arial"/>
                <w:szCs w:val="22"/>
              </w:rPr>
              <w:t>Do budoucna je třeba rozšířit</w:t>
            </w:r>
            <w:r w:rsidRPr="0034009B">
              <w:rPr>
                <w:rFonts w:ascii="Arial" w:hAnsi="Arial" w:cs="Arial"/>
                <w:szCs w:val="22"/>
              </w:rPr>
              <w:t xml:space="preserve"> portfolio výstupů s aplikačním přesahem – patenty, užitné vzory, či certifikované metodiky. Členství ve významných orgánech </w:t>
            </w:r>
            <w:proofErr w:type="spellStart"/>
            <w:r w:rsidRPr="0034009B">
              <w:rPr>
                <w:rFonts w:ascii="Arial" w:hAnsi="Arial" w:cs="Arial"/>
                <w:szCs w:val="22"/>
              </w:rPr>
              <w:t>VaVaI</w:t>
            </w:r>
            <w:proofErr w:type="spellEnd"/>
            <w:r w:rsidRPr="0034009B">
              <w:rPr>
                <w:rFonts w:ascii="Arial" w:hAnsi="Arial" w:cs="Arial"/>
                <w:szCs w:val="22"/>
              </w:rPr>
              <w:t xml:space="preserve"> je </w:t>
            </w:r>
            <w:r w:rsidR="002317E0">
              <w:rPr>
                <w:rFonts w:ascii="Arial" w:hAnsi="Arial" w:cs="Arial"/>
                <w:szCs w:val="22"/>
              </w:rPr>
              <w:t>odpovídající velikosti VO</w:t>
            </w:r>
            <w:r w:rsidRPr="0034009B">
              <w:rPr>
                <w:rFonts w:ascii="Arial" w:hAnsi="Arial" w:cs="Arial"/>
                <w:szCs w:val="22"/>
              </w:rPr>
              <w:t xml:space="preserve">. Celkově </w:t>
            </w:r>
            <w:r w:rsidR="002317E0">
              <w:rPr>
                <w:rFonts w:ascii="Arial" w:hAnsi="Arial" w:cs="Arial"/>
                <w:szCs w:val="22"/>
              </w:rPr>
              <w:t>společenská relevance</w:t>
            </w:r>
            <w:r w:rsidRPr="0034009B">
              <w:rPr>
                <w:rFonts w:ascii="Arial" w:hAnsi="Arial" w:cs="Arial"/>
                <w:color w:val="212121"/>
                <w:szCs w:val="22"/>
                <w:lang w:eastAsia="en-GB"/>
              </w:rPr>
              <w:t xml:space="preserve"> výzkumu</w:t>
            </w:r>
            <w:r w:rsidR="002317E0">
              <w:rPr>
                <w:rFonts w:ascii="Arial" w:hAnsi="Arial" w:cs="Arial"/>
                <w:color w:val="212121"/>
                <w:szCs w:val="22"/>
                <w:lang w:eastAsia="en-GB"/>
              </w:rPr>
              <w:t xml:space="preserve"> VO hodnocena jako </w:t>
            </w:r>
            <w:r w:rsidRPr="0034009B">
              <w:rPr>
                <w:rFonts w:ascii="Arial" w:hAnsi="Arial" w:cs="Arial"/>
                <w:color w:val="212121"/>
                <w:szCs w:val="22"/>
                <w:lang w:eastAsia="en-GB"/>
              </w:rPr>
              <w:t>velmi dobr</w:t>
            </w:r>
            <w:r w:rsidR="00F40C55">
              <w:rPr>
                <w:rFonts w:ascii="Arial" w:hAnsi="Arial" w:cs="Arial"/>
                <w:color w:val="212121"/>
                <w:szCs w:val="22"/>
                <w:lang w:eastAsia="en-GB"/>
              </w:rPr>
              <w:t>á</w:t>
            </w:r>
            <w:r w:rsidRPr="0034009B">
              <w:rPr>
                <w:rFonts w:ascii="Arial" w:hAnsi="Arial" w:cs="Arial"/>
                <w:color w:val="212121"/>
                <w:szCs w:val="22"/>
                <w:lang w:eastAsia="en-GB"/>
              </w:rPr>
              <w:t xml:space="preserve"> (B).</w:t>
            </w:r>
          </w:p>
          <w:p w14:paraId="09964C38" w14:textId="77777777" w:rsidR="009C3CAC" w:rsidRDefault="009C3CAC" w:rsidP="00094266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212121"/>
                <w:szCs w:val="22"/>
                <w:lang w:eastAsia="en-GB"/>
              </w:rPr>
            </w:pPr>
          </w:p>
          <w:p w14:paraId="4451D17A" w14:textId="7E238B99" w:rsidR="009C3CAC" w:rsidRDefault="009C3CAC" w:rsidP="00094266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</w:pPr>
            <w:r w:rsidRPr="009C3CAC"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>Závěr průběžného hodnocení modulu 3:</w:t>
            </w:r>
          </w:p>
          <w:p w14:paraId="3A412F85" w14:textId="5656DFD4" w:rsidR="00F1333E" w:rsidRPr="009C3CAC" w:rsidRDefault="00F1333E" w:rsidP="00094266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>P</w:t>
            </w:r>
            <w:r w:rsidRPr="00F1333E"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>růběžné hodnocení odpovídá stavu v době škálování.</w:t>
            </w:r>
          </w:p>
          <w:p w14:paraId="115F8DE5" w14:textId="77777777" w:rsidR="009C3CAC" w:rsidRPr="0034009B" w:rsidRDefault="009C3CAC" w:rsidP="002317E0">
            <w:pPr>
              <w:pBdr>
                <w:bottom w:val="single" w:sz="6" w:space="1" w:color="auto"/>
              </w:pBdr>
              <w:rPr>
                <w:rFonts w:ascii="Arial" w:hAnsi="Arial" w:cs="Arial"/>
                <w:szCs w:val="22"/>
              </w:rPr>
            </w:pPr>
          </w:p>
          <w:p w14:paraId="5CF40397" w14:textId="664D6C4F" w:rsidR="00D124CE" w:rsidRPr="00CE0B51" w:rsidRDefault="00D124CE" w:rsidP="002317E0">
            <w:pPr>
              <w:pStyle w:val="Zhlav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4829A8" w:rsidRPr="00B44D3A" w14:paraId="732355D6" w14:textId="77777777" w:rsidTr="009B5451">
        <w:trPr>
          <w:trHeight w:val="25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C5D663" w14:textId="70CEAE87" w:rsidR="004829A8" w:rsidRDefault="004829A8" w:rsidP="002317E0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proofErr w:type="spellStart"/>
            <w:r>
              <w:rPr>
                <w:rFonts w:ascii="Arial" w:hAnsi="Arial" w:cs="Arial"/>
                <w:b/>
                <w:szCs w:val="22"/>
              </w:rPr>
              <w:t>Viabilita</w:t>
            </w:r>
            <w:proofErr w:type="spellEnd"/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 w:rsidR="00CE0B51">
              <w:rPr>
                <w:rFonts w:ascii="Arial" w:hAnsi="Arial" w:cs="Arial"/>
                <w:b/>
                <w:szCs w:val="22"/>
              </w:rPr>
              <w:t xml:space="preserve"> B</w:t>
            </w:r>
          </w:p>
          <w:p w14:paraId="0FBE5DEC" w14:textId="77777777" w:rsidR="004829A8" w:rsidRDefault="004829A8" w:rsidP="002317E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25E4EE" w14:textId="77777777" w:rsidR="004829A8" w:rsidRDefault="004829A8" w:rsidP="002317E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9CC28CB" w14:textId="77777777" w:rsidR="004829A8" w:rsidRPr="00DB5CDA" w:rsidRDefault="004829A8" w:rsidP="002317E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67E73A" w14:textId="77777777" w:rsidR="0034009B" w:rsidRPr="0034009B" w:rsidRDefault="0034009B" w:rsidP="0009426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34009B">
              <w:rPr>
                <w:rFonts w:ascii="Arial" w:hAnsi="Arial" w:cs="Arial"/>
                <w:color w:val="000000" w:themeColor="text1"/>
              </w:rPr>
              <w:t xml:space="preserve">Vědecko-výzkumná základna je přímo řízena ředitelkou VO. Rozvojem koncepce výzkumu je pověřen tajemník pro vědu a výzkum ve spolupráci s grantovým a finančním manažerem. Výzkumní pracovníci jsou součástí všech oddělení VO. V organizačním řádu nebo ve výročních zprávách není uvedeno, zda ve sledovaném období existovaly nějaké výzkumné skupiny, týmy s typickou strukturou a vlastním vedením, byť v části o dílčích cílech jsou popsané řešitelské týmy. Je otázkou, zda je tento koncept řízení </w:t>
            </w:r>
            <w:proofErr w:type="spellStart"/>
            <w:r w:rsidRPr="0034009B">
              <w:rPr>
                <w:rFonts w:ascii="Arial" w:hAnsi="Arial" w:cs="Arial"/>
                <w:color w:val="000000" w:themeColor="text1"/>
              </w:rPr>
              <w:t>VaVaI</w:t>
            </w:r>
            <w:proofErr w:type="spellEnd"/>
            <w:r w:rsidRPr="0034009B">
              <w:rPr>
                <w:rFonts w:ascii="Arial" w:hAnsi="Arial" w:cs="Arial"/>
                <w:color w:val="000000" w:themeColor="text1"/>
              </w:rPr>
              <w:t xml:space="preserve">, byť i v relativně menší organizaci, optimální. V doložených dokumentech, včetně organizačního řádu, není zmínka o Vědecké radě VO nebo pozici vedoucího výzkumu, která se objevuje ve výročních zprávách spadajících do hodnoceného období. </w:t>
            </w:r>
          </w:p>
          <w:p w14:paraId="5A1E468E" w14:textId="77777777" w:rsidR="0034009B" w:rsidRPr="0034009B" w:rsidRDefault="0034009B" w:rsidP="0009426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34009B">
              <w:rPr>
                <w:rFonts w:ascii="Arial" w:hAnsi="Arial" w:cs="Arial"/>
                <w:color w:val="000000" w:themeColor="text1"/>
              </w:rPr>
              <w:t xml:space="preserve">DKRVO tvoří více než polovinu (54 %) příjmů z domácích a zahraničních zdrojů na podporu vědeckých aktivit. Tuzemské veřejné zdroje tvoří další významnou část (46 %). Veřejné zahraniční zdroje tvoří méně než 0,1 % příjmů na podporu </w:t>
            </w:r>
            <w:proofErr w:type="spellStart"/>
            <w:r w:rsidRPr="0034009B">
              <w:rPr>
                <w:rFonts w:ascii="Arial" w:hAnsi="Arial" w:cs="Arial"/>
                <w:color w:val="000000" w:themeColor="text1"/>
              </w:rPr>
              <w:t>VaVaI</w:t>
            </w:r>
            <w:proofErr w:type="spellEnd"/>
            <w:r w:rsidRPr="0034009B">
              <w:rPr>
                <w:rFonts w:ascii="Arial" w:hAnsi="Arial" w:cs="Arial"/>
                <w:color w:val="000000" w:themeColor="text1"/>
              </w:rPr>
              <w:t xml:space="preserve">. Komercializace výsledků výzkumu nebo soukromé zdroje nepřináší dosud žádné finanční příjmy pro podporu </w:t>
            </w:r>
            <w:proofErr w:type="spellStart"/>
            <w:r w:rsidRPr="0034009B">
              <w:rPr>
                <w:rFonts w:ascii="Arial" w:hAnsi="Arial" w:cs="Arial"/>
                <w:color w:val="000000" w:themeColor="text1"/>
              </w:rPr>
              <w:t>VaVaI</w:t>
            </w:r>
            <w:proofErr w:type="spellEnd"/>
            <w:r w:rsidRPr="0034009B">
              <w:rPr>
                <w:rFonts w:ascii="Arial" w:hAnsi="Arial" w:cs="Arial"/>
                <w:color w:val="000000" w:themeColor="text1"/>
              </w:rPr>
              <w:t xml:space="preserve">. Ani se v blízké budoucnosti neočekávají. </w:t>
            </w:r>
          </w:p>
          <w:p w14:paraId="56858F0D" w14:textId="77777777" w:rsidR="0034009B" w:rsidRPr="0034009B" w:rsidRDefault="0034009B" w:rsidP="0009426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34009B">
              <w:rPr>
                <w:rFonts w:ascii="Arial" w:hAnsi="Arial" w:cs="Arial"/>
                <w:color w:val="000000" w:themeColor="text1"/>
              </w:rPr>
              <w:t xml:space="preserve">Součástí výzkumného týmu jsou seniorní výzkumní pracovníci, ale i doktorandi a pregraduální studenti. Celkově tým zaměstnanců přímo se podílejících na plnění výzkumných úkolů čítá 78 osob (25 FTE), s významnou převahou žen a absencí pracovníků ze zahraničí. Kariérní řád pro oblast výzkumu (nebo program pro rozvoj talentů) nebyl doložen ani popsán. </w:t>
            </w:r>
          </w:p>
          <w:p w14:paraId="5CCDBAEA" w14:textId="77777777" w:rsidR="0034009B" w:rsidRPr="0034009B" w:rsidRDefault="0034009B" w:rsidP="0009426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34009B">
              <w:rPr>
                <w:rFonts w:ascii="Arial" w:hAnsi="Arial" w:cs="Arial"/>
                <w:color w:val="000000" w:themeColor="text1"/>
              </w:rPr>
              <w:lastRenderedPageBreak/>
              <w:t xml:space="preserve">EÚ disponuje potřebným přístrojovým vybavením k realizaci aplikovaného klinického výzkumu. Existuje plán na jeho modernizaci. VO v daném období nedoložila ani do budoucna nedeklaruje spolupráci v rámci žádné domácí nebo zahraniční výzkumné infrastruktury (např. CZECRIN, BBMRI, nebo ERN - evropské referenční sítě). </w:t>
            </w:r>
          </w:p>
          <w:p w14:paraId="5B889100" w14:textId="77777777" w:rsidR="0034009B" w:rsidRPr="0034009B" w:rsidRDefault="0034009B" w:rsidP="0009426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34009B">
              <w:rPr>
                <w:rFonts w:ascii="Arial" w:hAnsi="Arial" w:cs="Arial"/>
                <w:color w:val="000000" w:themeColor="text1"/>
              </w:rPr>
              <w:t xml:space="preserve">Spolupráce s českými a zahraničními VO probíhá v rámci dílčích výzkumných projektů. VO není zadavatelem nekomerčních klinických hodnocení. Zúčastňuje se pouze firemních klinických studií. </w:t>
            </w:r>
          </w:p>
          <w:p w14:paraId="212F9FB8" w14:textId="77777777" w:rsidR="0034009B" w:rsidRPr="0034009B" w:rsidRDefault="0034009B" w:rsidP="0009426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34009B">
              <w:rPr>
                <w:rFonts w:ascii="Arial" w:hAnsi="Arial" w:cs="Arial"/>
                <w:color w:val="000000" w:themeColor="text1"/>
              </w:rPr>
              <w:t xml:space="preserve">Mobility jsou podporovány v rámci dílčích výzkumných projektů. Byly doloženy příjezdy zahraničních odborníků i vycestování odborníků VO do zahraničí. Z rozpočtu DKRVO nebyly pro tento účel čerpány žádné prostředky. VO nedoložila/nezmínila žádný formalizovaný program na podporu mobility. </w:t>
            </w:r>
          </w:p>
          <w:p w14:paraId="3B0F0CD7" w14:textId="77777777" w:rsidR="0034009B" w:rsidRPr="0034009B" w:rsidRDefault="0034009B" w:rsidP="0009426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34009B">
              <w:rPr>
                <w:rFonts w:ascii="Arial" w:hAnsi="Arial" w:cs="Arial"/>
                <w:color w:val="000000" w:themeColor="text1"/>
              </w:rPr>
              <w:t xml:space="preserve">Byly doloženy příklady spolupráce s aplikační sférou (např. společnostmi vyrábějícími zdravotnickou techniku a diagnostické soupravy) a řídící dokumentace pro tento účel. Konkrétní výstup v podobě již aplikované metody/postupu uveden nebyl. </w:t>
            </w:r>
          </w:p>
          <w:p w14:paraId="4B6C7A62" w14:textId="77777777" w:rsidR="0034009B" w:rsidRPr="0034009B" w:rsidRDefault="0034009B" w:rsidP="0009426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34009B">
              <w:rPr>
                <w:rFonts w:ascii="Arial" w:hAnsi="Arial" w:cs="Arial"/>
                <w:color w:val="000000" w:themeColor="text1"/>
              </w:rPr>
              <w:t xml:space="preserve">VO se při realizaci klinického výzkumu řídí všemi zákonem požadovanými normami. Orgánem zapojeným do procesu schvalování výzkumných projektů a projednávání pravidel či jednotlivých případů jejich porušení se jeví Etická komise EÚ. VO je zapojena do </w:t>
            </w:r>
            <w:proofErr w:type="spellStart"/>
            <w:r w:rsidRPr="0034009B">
              <w:rPr>
                <w:rFonts w:ascii="Arial" w:hAnsi="Arial" w:cs="Arial"/>
                <w:color w:val="000000" w:themeColor="text1"/>
              </w:rPr>
              <w:t>pre</w:t>
            </w:r>
            <w:proofErr w:type="spellEnd"/>
            <w:r w:rsidRPr="0034009B">
              <w:rPr>
                <w:rFonts w:ascii="Arial" w:hAnsi="Arial" w:cs="Arial"/>
                <w:color w:val="000000" w:themeColor="text1"/>
              </w:rPr>
              <w:t xml:space="preserve">- i postgraduální výuky, včetně celoživotního vzdělávání. </w:t>
            </w:r>
          </w:p>
          <w:p w14:paraId="00DD0F0E" w14:textId="51B0CFAC" w:rsidR="004829A8" w:rsidRDefault="0034009B" w:rsidP="00094266">
            <w:pPr>
              <w:pStyle w:val="Zhlav"/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</w:rPr>
            </w:pPr>
            <w:r w:rsidRPr="0034009B">
              <w:rPr>
                <w:rFonts w:ascii="Arial" w:hAnsi="Arial" w:cs="Arial"/>
                <w:color w:val="000000" w:themeColor="text1"/>
              </w:rPr>
              <w:t xml:space="preserve">Z výše uvedeného vyplývají slabiny, na jejichž řešení je třeba v následujícím období zaměřit pozornost, celkově </w:t>
            </w:r>
            <w:r w:rsidR="00A668E8">
              <w:rPr>
                <w:rFonts w:ascii="Arial" w:hAnsi="Arial" w:cs="Arial"/>
                <w:color w:val="000000" w:themeColor="text1"/>
              </w:rPr>
              <w:t>je</w:t>
            </w:r>
            <w:r w:rsidRPr="0034009B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4009B">
              <w:rPr>
                <w:rFonts w:ascii="Arial" w:hAnsi="Arial" w:cs="Arial"/>
                <w:color w:val="000000" w:themeColor="text1"/>
              </w:rPr>
              <w:t>viabilit</w:t>
            </w:r>
            <w:r w:rsidR="00A668E8">
              <w:rPr>
                <w:rFonts w:ascii="Arial" w:hAnsi="Arial" w:cs="Arial"/>
                <w:color w:val="000000" w:themeColor="text1"/>
              </w:rPr>
              <w:t>a</w:t>
            </w:r>
            <w:proofErr w:type="spellEnd"/>
            <w:r w:rsidRPr="0034009B">
              <w:rPr>
                <w:rFonts w:ascii="Arial" w:hAnsi="Arial" w:cs="Arial"/>
                <w:color w:val="000000" w:themeColor="text1"/>
              </w:rPr>
              <w:t xml:space="preserve"> VO </w:t>
            </w:r>
            <w:r w:rsidR="00A668E8">
              <w:rPr>
                <w:rFonts w:ascii="Arial" w:hAnsi="Arial" w:cs="Arial"/>
                <w:color w:val="000000" w:themeColor="text1"/>
              </w:rPr>
              <w:t>hodnocena</w:t>
            </w:r>
            <w:r w:rsidRPr="0034009B">
              <w:rPr>
                <w:rFonts w:ascii="Arial" w:hAnsi="Arial" w:cs="Arial"/>
                <w:color w:val="000000" w:themeColor="text1"/>
              </w:rPr>
              <w:t xml:space="preserve"> jako velmi dobr</w:t>
            </w:r>
            <w:r w:rsidR="00A668E8">
              <w:rPr>
                <w:rFonts w:ascii="Arial" w:hAnsi="Arial" w:cs="Arial"/>
                <w:color w:val="000000" w:themeColor="text1"/>
              </w:rPr>
              <w:t>á</w:t>
            </w:r>
            <w:r w:rsidRPr="0034009B">
              <w:rPr>
                <w:rFonts w:ascii="Arial" w:hAnsi="Arial" w:cs="Arial"/>
                <w:color w:val="000000" w:themeColor="text1"/>
              </w:rPr>
              <w:t xml:space="preserve"> (B).</w:t>
            </w:r>
          </w:p>
          <w:p w14:paraId="07AADBD7" w14:textId="77777777" w:rsidR="009C3CAC" w:rsidRDefault="009C3CAC" w:rsidP="00094266">
            <w:pPr>
              <w:pStyle w:val="Zhlav"/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37AAE96" w14:textId="72F96A06" w:rsidR="009C3CAC" w:rsidRPr="009C3CAC" w:rsidRDefault="009C3CAC" w:rsidP="00094266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</w:pPr>
            <w:r w:rsidRPr="009C3CAC"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>Závěr průběžného hodnocení modulu 4:</w:t>
            </w:r>
          </w:p>
          <w:p w14:paraId="7F3F9F50" w14:textId="575DDBC5" w:rsidR="009C3CAC" w:rsidRPr="00F1333E" w:rsidRDefault="00F1333E" w:rsidP="00094266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</w:pPr>
            <w:r w:rsidRPr="00F1333E"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>průběžné hodnocení odpovídá stavu v době škálování</w:t>
            </w:r>
            <w:r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 xml:space="preserve">, tj. včetně slabin, kterým je potřeba věnovat pozornost. </w:t>
            </w:r>
          </w:p>
          <w:p w14:paraId="3439ABA5" w14:textId="77777777" w:rsidR="009C3CAC" w:rsidRDefault="009C3CAC" w:rsidP="00094266">
            <w:pPr>
              <w:pStyle w:val="Zhlav"/>
              <w:pBdr>
                <w:bottom w:val="single" w:sz="6" w:space="1" w:color="auto"/>
              </w:pBd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4768D9C" w14:textId="399BCD37" w:rsidR="00D124CE" w:rsidRPr="00CE0B51" w:rsidRDefault="00D124CE" w:rsidP="00094266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4829A8" w:rsidRPr="001F0B21" w14:paraId="4C753ABD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A0ED7A" w14:textId="5F6AF26C" w:rsidR="004829A8" w:rsidRPr="00DB5CDA" w:rsidRDefault="004829A8" w:rsidP="002317E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lastRenderedPageBreak/>
              <w:t>Modul 5 Strategie a koncepce</w:t>
            </w:r>
            <w:r w:rsidR="00CE0B51">
              <w:rPr>
                <w:rFonts w:ascii="Arial" w:hAnsi="Arial" w:cs="Arial"/>
                <w:b/>
                <w:szCs w:val="22"/>
              </w:rPr>
              <w:t xml:space="preserve"> B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3FF928" w14:textId="77777777" w:rsidR="00D124CE" w:rsidRPr="00216805" w:rsidRDefault="00D124CE" w:rsidP="0009426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16805">
              <w:rPr>
                <w:rFonts w:ascii="Arial" w:hAnsi="Arial" w:cs="Arial"/>
                <w:color w:val="000000" w:themeColor="text1"/>
              </w:rPr>
              <w:t>Koncepce výzkumu</w:t>
            </w:r>
            <w:r>
              <w:rPr>
                <w:rFonts w:ascii="Arial" w:hAnsi="Arial" w:cs="Arial"/>
                <w:color w:val="000000" w:themeColor="text1"/>
              </w:rPr>
              <w:t>, mise a vize</w:t>
            </w:r>
            <w:r w:rsidRPr="00216805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VO</w:t>
            </w:r>
            <w:r w:rsidRPr="00216805">
              <w:rPr>
                <w:rFonts w:ascii="Arial" w:hAnsi="Arial" w:cs="Arial"/>
                <w:color w:val="000000" w:themeColor="text1"/>
              </w:rPr>
              <w:t xml:space="preserve"> vychází z</w:t>
            </w:r>
            <w:r>
              <w:rPr>
                <w:rFonts w:ascii="Arial" w:hAnsi="Arial" w:cs="Arial"/>
                <w:color w:val="000000" w:themeColor="text1"/>
              </w:rPr>
              <w:t xml:space="preserve"> její </w:t>
            </w:r>
            <w:r w:rsidRPr="00216805">
              <w:rPr>
                <w:rFonts w:ascii="Arial" w:hAnsi="Arial" w:cs="Arial"/>
                <w:color w:val="000000" w:themeColor="text1"/>
              </w:rPr>
              <w:t xml:space="preserve">dlouholeté tradice. Hlavními tematickými prioritami je základní, ale především aplikovaný výzkum v oboru endokrinologie a v oborech navazujících, zejména diabetologie, </w:t>
            </w:r>
            <w:proofErr w:type="spellStart"/>
            <w:r w:rsidRPr="00216805">
              <w:rPr>
                <w:rFonts w:ascii="Arial" w:hAnsi="Arial" w:cs="Arial"/>
                <w:color w:val="000000" w:themeColor="text1"/>
              </w:rPr>
              <w:t>obezitologie</w:t>
            </w:r>
            <w:proofErr w:type="spellEnd"/>
            <w:r w:rsidRPr="00216805">
              <w:rPr>
                <w:rFonts w:ascii="Arial" w:hAnsi="Arial" w:cs="Arial"/>
                <w:color w:val="000000" w:themeColor="text1"/>
              </w:rPr>
              <w:t>, osteologie. Silnou stránkou jsou dobře definované dílčí cíle.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16805">
              <w:rPr>
                <w:rFonts w:ascii="Arial" w:hAnsi="Arial" w:cs="Arial"/>
                <w:color w:val="000000" w:themeColor="text1"/>
              </w:rPr>
              <w:t xml:space="preserve">Vizí je EÚ jako životaschopná a konkurenceschopná VO, ukotvená v českém i mezinárodním prostředí v oblasti lékařských věd a zdravotnického </w:t>
            </w:r>
            <w:proofErr w:type="spellStart"/>
            <w:r w:rsidRPr="00216805">
              <w:rPr>
                <w:rFonts w:ascii="Arial" w:hAnsi="Arial" w:cs="Arial"/>
                <w:color w:val="000000" w:themeColor="text1"/>
              </w:rPr>
              <w:t>VaVaI</w:t>
            </w:r>
            <w:proofErr w:type="spellEnd"/>
            <w:r w:rsidRPr="00216805">
              <w:rPr>
                <w:rFonts w:ascii="Arial" w:hAnsi="Arial" w:cs="Arial"/>
                <w:color w:val="000000" w:themeColor="text1"/>
              </w:rPr>
              <w:t xml:space="preserve">, která má stabilizovanou personální základnu s dostatečným počtem kvalitních vědeckých pracovníků a provádí excelentní výzkum. </w:t>
            </w:r>
          </w:p>
          <w:p w14:paraId="225461FD" w14:textId="77777777" w:rsidR="004829A8" w:rsidRDefault="00D124CE" w:rsidP="00094266">
            <w:pPr>
              <w:pStyle w:val="Zhlav"/>
              <w:jc w:val="both"/>
              <w:rPr>
                <w:rFonts w:ascii="Arial" w:hAnsi="Arial" w:cs="Arial"/>
                <w:color w:val="000000" w:themeColor="text1"/>
              </w:rPr>
            </w:pPr>
            <w:r w:rsidRPr="00216805">
              <w:rPr>
                <w:rFonts w:ascii="Arial" w:hAnsi="Arial" w:cs="Arial"/>
                <w:color w:val="000000" w:themeColor="text1"/>
              </w:rPr>
              <w:t xml:space="preserve">Je popsána „snaha“ naplňovat tři cíle Národní politiky </w:t>
            </w:r>
            <w:proofErr w:type="spellStart"/>
            <w:r w:rsidRPr="00216805">
              <w:rPr>
                <w:rFonts w:ascii="Arial" w:hAnsi="Arial" w:cs="Arial"/>
                <w:color w:val="000000" w:themeColor="text1"/>
              </w:rPr>
              <w:t>VaVaI</w:t>
            </w:r>
            <w:proofErr w:type="spellEnd"/>
            <w:r w:rsidRPr="00216805">
              <w:rPr>
                <w:rFonts w:ascii="Arial" w:hAnsi="Arial" w:cs="Arial"/>
                <w:color w:val="000000" w:themeColor="text1"/>
              </w:rPr>
              <w:t>, které jsou vyjmenovány. Není popsáno jak a jakých výsledků chce EÚ v těchto cílech dosáhnout (např SMART analýza pro jednotlivé cíle), jak bude naplnění monitorováno.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16805">
              <w:rPr>
                <w:rFonts w:ascii="Arial" w:hAnsi="Arial" w:cs="Arial"/>
                <w:color w:val="000000" w:themeColor="text1"/>
              </w:rPr>
              <w:t>Na národní úrovni je popsána návaznost pouze na  strategii Zdraví 2030. Je zmíněn dokument Evropské endokrinologické společnosti popisující potřeby v oblasti endokrinopatií v EU a dále evropský program pro podporu výzkum</w:t>
            </w:r>
            <w:r>
              <w:rPr>
                <w:rFonts w:ascii="Arial" w:hAnsi="Arial" w:cs="Arial"/>
                <w:color w:val="000000" w:themeColor="text1"/>
              </w:rPr>
              <w:t>u</w:t>
            </w:r>
            <w:r w:rsidRPr="00216805">
              <w:rPr>
                <w:rFonts w:ascii="Arial" w:hAnsi="Arial" w:cs="Arial"/>
                <w:color w:val="000000" w:themeColor="text1"/>
              </w:rPr>
              <w:t xml:space="preserve"> Horizon</w:t>
            </w:r>
            <w:r>
              <w:rPr>
                <w:rFonts w:ascii="Arial" w:hAnsi="Arial" w:cs="Arial"/>
                <w:color w:val="000000" w:themeColor="text1"/>
              </w:rPr>
              <w:t>t</w:t>
            </w:r>
            <w:r w:rsidRPr="00216805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 xml:space="preserve">Evropa. Celkově </w:t>
            </w:r>
            <w:r w:rsidR="00A668E8">
              <w:rPr>
                <w:rFonts w:ascii="Arial" w:hAnsi="Arial" w:cs="Arial"/>
                <w:color w:val="000000" w:themeColor="text1"/>
              </w:rPr>
              <w:t>je</w:t>
            </w:r>
            <w:r>
              <w:rPr>
                <w:rFonts w:ascii="Arial" w:hAnsi="Arial" w:cs="Arial"/>
                <w:color w:val="000000" w:themeColor="text1"/>
              </w:rPr>
              <w:t xml:space="preserve"> strategi</w:t>
            </w:r>
            <w:r w:rsidR="00A668E8">
              <w:rPr>
                <w:rFonts w:ascii="Arial" w:hAnsi="Arial" w:cs="Arial"/>
                <w:color w:val="000000" w:themeColor="text1"/>
              </w:rPr>
              <w:t>e</w:t>
            </w:r>
            <w:r>
              <w:rPr>
                <w:rFonts w:ascii="Arial" w:hAnsi="Arial" w:cs="Arial"/>
                <w:color w:val="000000" w:themeColor="text1"/>
              </w:rPr>
              <w:t xml:space="preserve"> VO </w:t>
            </w:r>
            <w:r w:rsidR="00A668E8">
              <w:rPr>
                <w:rFonts w:ascii="Arial" w:hAnsi="Arial" w:cs="Arial"/>
                <w:color w:val="000000" w:themeColor="text1"/>
              </w:rPr>
              <w:t>hodnocena</w:t>
            </w:r>
            <w:r>
              <w:rPr>
                <w:rFonts w:ascii="Arial" w:hAnsi="Arial" w:cs="Arial"/>
                <w:color w:val="000000" w:themeColor="text1"/>
              </w:rPr>
              <w:t xml:space="preserve"> jako velmi dobr</w:t>
            </w:r>
            <w:r w:rsidR="00A668E8">
              <w:rPr>
                <w:rFonts w:ascii="Arial" w:hAnsi="Arial" w:cs="Arial"/>
                <w:color w:val="000000" w:themeColor="text1"/>
              </w:rPr>
              <w:t>á</w:t>
            </w:r>
            <w:r>
              <w:rPr>
                <w:rFonts w:ascii="Arial" w:hAnsi="Arial" w:cs="Arial"/>
                <w:color w:val="000000" w:themeColor="text1"/>
              </w:rPr>
              <w:t xml:space="preserve"> (B).</w:t>
            </w:r>
          </w:p>
          <w:p w14:paraId="21A6773D" w14:textId="77777777" w:rsidR="009C3CAC" w:rsidRDefault="009C3CAC" w:rsidP="00094266">
            <w:pPr>
              <w:pStyle w:val="Zhlav"/>
              <w:jc w:val="both"/>
              <w:rPr>
                <w:rFonts w:ascii="Arial" w:hAnsi="Arial" w:cs="Arial"/>
                <w:color w:val="000000" w:themeColor="text1"/>
                <w:highlight w:val="yellow"/>
              </w:rPr>
            </w:pPr>
          </w:p>
          <w:p w14:paraId="470A5DFE" w14:textId="15576289" w:rsidR="009C3CAC" w:rsidRPr="009C3CAC" w:rsidRDefault="009C3CAC" w:rsidP="00094266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</w:pPr>
            <w:r w:rsidRPr="009C3CAC"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 xml:space="preserve">Závěr průběžného hodnocení modulu </w:t>
            </w:r>
            <w:r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>5</w:t>
            </w:r>
            <w:r w:rsidRPr="009C3CAC"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>:</w:t>
            </w:r>
            <w:r w:rsidR="00F1333E"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 xml:space="preserve"> v</w:t>
            </w:r>
            <w:r w:rsidR="00F1333E" w:rsidRPr="00F1333E"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 xml:space="preserve"> roce 2023 byla plněna mise i vize představená v Koncepci EÚ na hodnotící období (2023-2027). </w:t>
            </w:r>
            <w:r w:rsidR="00F1333E"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>P</w:t>
            </w:r>
            <w:r w:rsidR="00F1333E" w:rsidRPr="00F1333E"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>růběžné hodnocení odpovídá stavu v době škálování</w:t>
            </w:r>
            <w:r w:rsidR="00F1333E">
              <w:rPr>
                <w:rFonts w:ascii="Arial" w:hAnsi="Arial" w:cs="Arial"/>
                <w:b/>
                <w:bCs/>
                <w:color w:val="212121"/>
                <w:szCs w:val="22"/>
                <w:lang w:eastAsia="en-GB"/>
              </w:rPr>
              <w:t xml:space="preserve">. </w:t>
            </w:r>
          </w:p>
          <w:p w14:paraId="795EFF4E" w14:textId="1D22DBDC" w:rsidR="009C3CAC" w:rsidRPr="001F0B21" w:rsidRDefault="009C3CAC" w:rsidP="00094266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4829A8" w:rsidRPr="001F0B21" w14:paraId="04EA019B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5B319D" w14:textId="125CAA22" w:rsidR="004829A8" w:rsidRPr="00DB5CDA" w:rsidRDefault="004829A8" w:rsidP="002317E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C47BDD" w14:textId="77777777" w:rsidR="004829A8" w:rsidRDefault="004829A8" w:rsidP="00094266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564A461D" w14:textId="77777777" w:rsidR="009C3CAC" w:rsidRDefault="009C3CAC" w:rsidP="00094266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5503914C" w14:textId="77777777" w:rsidR="009C3CAC" w:rsidRPr="001F0B21" w:rsidRDefault="009C3CAC" w:rsidP="00094266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5AB3D9F1" w14:textId="5FCD9BA9" w:rsidR="00960E2B" w:rsidRDefault="00960E2B" w:rsidP="002317E0"/>
    <w:sectPr w:rsidR="00960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4090"/>
    <w:multiLevelType w:val="multilevel"/>
    <w:tmpl w:val="151630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261B0A67"/>
    <w:multiLevelType w:val="hybridMultilevel"/>
    <w:tmpl w:val="47BC56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554280">
    <w:abstractNumId w:val="0"/>
  </w:num>
  <w:num w:numId="2" w16cid:durableId="879703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45A7C"/>
    <w:rsid w:val="000779AD"/>
    <w:rsid w:val="00094266"/>
    <w:rsid w:val="000C799D"/>
    <w:rsid w:val="002317E0"/>
    <w:rsid w:val="002D4EC4"/>
    <w:rsid w:val="0034009B"/>
    <w:rsid w:val="0034701A"/>
    <w:rsid w:val="004829A8"/>
    <w:rsid w:val="004C73B8"/>
    <w:rsid w:val="00726076"/>
    <w:rsid w:val="00776127"/>
    <w:rsid w:val="00796777"/>
    <w:rsid w:val="00960E2B"/>
    <w:rsid w:val="009C3CAC"/>
    <w:rsid w:val="00A668E8"/>
    <w:rsid w:val="00AC0DB1"/>
    <w:rsid w:val="00B37BAD"/>
    <w:rsid w:val="00CB2E83"/>
    <w:rsid w:val="00CE0B51"/>
    <w:rsid w:val="00D124CE"/>
    <w:rsid w:val="00E11752"/>
    <w:rsid w:val="00F1333E"/>
    <w:rsid w:val="00F17E11"/>
    <w:rsid w:val="00F4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6C0D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4009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Zkladntext">
    <w:name w:val="Základní text_"/>
    <w:basedOn w:val="Standardnpsmoodstavce"/>
    <w:link w:val="Zkladntext1"/>
    <w:rsid w:val="00960E2B"/>
    <w:rPr>
      <w:rFonts w:ascii="Calibri" w:eastAsia="Calibri" w:hAnsi="Calibri" w:cs="Calibri"/>
    </w:rPr>
  </w:style>
  <w:style w:type="paragraph" w:customStyle="1" w:styleId="Zkladntext1">
    <w:name w:val="Základní text1"/>
    <w:basedOn w:val="Normln"/>
    <w:link w:val="Zkladntext"/>
    <w:rsid w:val="00960E2B"/>
    <w:pPr>
      <w:widowControl w:val="0"/>
      <w:spacing w:after="320" w:line="271" w:lineRule="auto"/>
    </w:pPr>
    <w:rPr>
      <w:rFonts w:ascii="Calibri" w:eastAsia="Calibri" w:hAnsi="Calibri" w:cs="Calibri"/>
      <w:kern w:val="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400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3</cp:revision>
  <dcterms:created xsi:type="dcterms:W3CDTF">2025-01-06T06:15:00Z</dcterms:created>
  <dcterms:modified xsi:type="dcterms:W3CDTF">2025-01-06T09:47:00Z</dcterms:modified>
</cp:coreProperties>
</file>